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91" w:rsidRDefault="007070E5">
      <w:pPr>
        <w:rPr>
          <w:rFonts w:asciiTheme="majorBidi" w:hAnsiTheme="majorBidi" w:cstheme="majorBidi" w:hint="cs"/>
          <w:sz w:val="36"/>
          <w:szCs w:val="36"/>
          <w:rtl/>
        </w:rPr>
      </w:pPr>
      <w:r w:rsidRPr="00DF4B91">
        <w:rPr>
          <w:rFonts w:ascii="Times New Roman" w:eastAsia="Calibri" w:hAnsi="Times New Roman" w:cs="Times New Roman"/>
          <w:noProof/>
          <w:sz w:val="36"/>
          <w:szCs w:val="36"/>
          <w:rtl/>
        </w:rPr>
        <w:drawing>
          <wp:anchor distT="0" distB="0" distL="114300" distR="114300" simplePos="0" relativeHeight="251659264" behindDoc="0" locked="0" layoutInCell="1" allowOverlap="1" wp14:anchorId="5FC28482" wp14:editId="44624744">
            <wp:simplePos x="0" y="0"/>
            <wp:positionH relativeFrom="margin">
              <wp:posOffset>2200275</wp:posOffset>
            </wp:positionH>
            <wp:positionV relativeFrom="margin">
              <wp:posOffset>-342900</wp:posOffset>
            </wp:positionV>
            <wp:extent cx="1218565" cy="1323340"/>
            <wp:effectExtent l="0" t="0" r="635" b="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לוגו מדרשה חוורד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4B91" w:rsidRDefault="00DF4B91">
      <w:pPr>
        <w:rPr>
          <w:rFonts w:asciiTheme="majorBidi" w:hAnsiTheme="majorBidi" w:cstheme="majorBidi" w:hint="cs"/>
          <w:sz w:val="36"/>
          <w:szCs w:val="36"/>
          <w:rtl/>
        </w:rPr>
      </w:pPr>
    </w:p>
    <w:p w:rsidR="008731BA" w:rsidRDefault="008731BA">
      <w:pPr>
        <w:rPr>
          <w:rFonts w:asciiTheme="majorBidi" w:hAnsiTheme="majorBidi" w:cstheme="majorBidi" w:hint="cs"/>
          <w:sz w:val="36"/>
          <w:szCs w:val="36"/>
          <w:rtl/>
        </w:rPr>
      </w:pPr>
    </w:p>
    <w:p w:rsidR="008731BA" w:rsidRPr="008731BA" w:rsidRDefault="008731BA" w:rsidP="008731BA">
      <w:pP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8731B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עש"ק אחרי </w:t>
      </w:r>
      <w:r w:rsidRPr="008731BA">
        <w:rPr>
          <w:rFonts w:asciiTheme="majorBidi" w:hAnsiTheme="majorBidi" w:cstheme="majorBidi"/>
          <w:b/>
          <w:bCs/>
          <w:sz w:val="36"/>
          <w:szCs w:val="36"/>
          <w:rtl/>
        </w:rPr>
        <w:t>–</w:t>
      </w:r>
      <w:r w:rsidRPr="008731BA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קדושים תשע"ה</w:t>
      </w:r>
    </w:p>
    <w:p w:rsidR="00DF4B91" w:rsidRDefault="00DF4B91">
      <w:pPr>
        <w:rPr>
          <w:rFonts w:asciiTheme="majorBidi" w:hAnsiTheme="majorBidi" w:cstheme="majorBidi" w:hint="cs"/>
          <w:sz w:val="36"/>
          <w:szCs w:val="36"/>
          <w:rtl/>
        </w:rPr>
      </w:pPr>
    </w:p>
    <w:p w:rsidR="00DF4B91" w:rsidRDefault="007070E5" w:rsidP="008731BA">
      <w:pPr>
        <w:jc w:val="center"/>
        <w:rPr>
          <w:rFonts w:asciiTheme="majorBidi" w:hAnsiTheme="majorBidi" w:cstheme="majorBidi" w:hint="cs"/>
          <w:sz w:val="36"/>
          <w:szCs w:val="36"/>
          <w:u w:val="single"/>
          <w:rtl/>
        </w:rPr>
      </w:pPr>
      <w:r w:rsidRPr="007070E5">
        <w:rPr>
          <w:rFonts w:asciiTheme="majorBidi" w:hAnsiTheme="majorBidi" w:cstheme="majorBidi" w:hint="cs"/>
          <w:sz w:val="36"/>
          <w:szCs w:val="36"/>
          <w:u w:val="single"/>
          <w:rtl/>
        </w:rPr>
        <w:t xml:space="preserve">מבחן </w:t>
      </w:r>
      <w:r w:rsidR="008731BA">
        <w:rPr>
          <w:rFonts w:asciiTheme="majorBidi" w:hAnsiTheme="majorBidi" w:cstheme="majorBidi" w:hint="cs"/>
          <w:sz w:val="36"/>
          <w:szCs w:val="36"/>
          <w:u w:val="single"/>
          <w:rtl/>
        </w:rPr>
        <w:t>מסכם</w:t>
      </w:r>
      <w:r w:rsidRPr="007070E5">
        <w:rPr>
          <w:rFonts w:asciiTheme="majorBidi" w:hAnsiTheme="majorBidi" w:cstheme="majorBidi" w:hint="cs"/>
          <w:sz w:val="36"/>
          <w:szCs w:val="36"/>
          <w:u w:val="single"/>
          <w:rtl/>
        </w:rPr>
        <w:t xml:space="preserve"> </w:t>
      </w:r>
      <w:r w:rsidR="008731BA">
        <w:rPr>
          <w:rFonts w:asciiTheme="majorBidi" w:hAnsiTheme="majorBidi" w:cstheme="majorBidi" w:hint="cs"/>
          <w:sz w:val="36"/>
          <w:szCs w:val="36"/>
          <w:u w:val="single"/>
          <w:rtl/>
        </w:rPr>
        <w:t>מ</w:t>
      </w:r>
      <w:r w:rsidRPr="007070E5">
        <w:rPr>
          <w:rFonts w:asciiTheme="majorBidi" w:hAnsiTheme="majorBidi" w:cstheme="majorBidi" w:hint="cs"/>
          <w:sz w:val="36"/>
          <w:szCs w:val="36"/>
          <w:u w:val="single"/>
          <w:rtl/>
        </w:rPr>
        <w:t>כות דף ב' ע"א</w:t>
      </w:r>
    </w:p>
    <w:p w:rsidR="008731BA" w:rsidRDefault="008731BA" w:rsidP="008731BA">
      <w:pPr>
        <w:jc w:val="center"/>
        <w:rPr>
          <w:rFonts w:asciiTheme="majorBidi" w:hAnsiTheme="majorBidi" w:cstheme="majorBidi" w:hint="cs"/>
          <w:sz w:val="36"/>
          <w:szCs w:val="36"/>
          <w:u w:val="single"/>
          <w:rtl/>
        </w:rPr>
      </w:pPr>
    </w:p>
    <w:p w:rsidR="00E957BD" w:rsidRDefault="008731BA" w:rsidP="00603A5C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א. "כיצד העדים נעשים זוממים... אין אומרים יעשה </w:t>
      </w:r>
      <w:r w:rsidRPr="008731BA">
        <w:rPr>
          <w:rFonts w:asciiTheme="majorBidi" w:hAnsiTheme="majorBidi" w:cstheme="majorBidi" w:hint="cs"/>
          <w:b/>
          <w:bCs/>
          <w:sz w:val="36"/>
          <w:szCs w:val="36"/>
          <w:rtl/>
        </w:rPr>
        <w:t>זה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בן גרושה". מדוע נקטה המשנה לשון יחיד?</w:t>
      </w:r>
      <w:r w:rsidR="00603A5C">
        <w:rPr>
          <w:rFonts w:asciiTheme="majorBidi" w:hAnsiTheme="majorBidi" w:cstheme="majorBidi" w:hint="cs"/>
          <w:sz w:val="36"/>
          <w:szCs w:val="36"/>
          <w:rtl/>
        </w:rPr>
        <w:t xml:space="preserve"> (2 ביאורים)</w:t>
      </w:r>
    </w:p>
    <w:p w:rsidR="00E957BD" w:rsidRDefault="00E957BD" w:rsidP="00E957BD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________________________________________________________________________________________________________________________________________________</w:t>
      </w:r>
    </w:p>
    <w:p w:rsidR="00E957BD" w:rsidRDefault="008731BA" w:rsidP="008731BA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ב. </w:t>
      </w:r>
      <w:r w:rsidR="00E957BD">
        <w:rPr>
          <w:rFonts w:asciiTheme="majorBidi" w:hAnsiTheme="majorBidi" w:cstheme="majorBidi" w:hint="cs"/>
          <w:sz w:val="36"/>
          <w:szCs w:val="36"/>
          <w:rtl/>
        </w:rPr>
        <w:t>מהי הזמה ומהי הכחשה?</w:t>
      </w:r>
    </w:p>
    <w:p w:rsidR="00E957BD" w:rsidRDefault="00E957BD" w:rsidP="008731BA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</w:t>
      </w:r>
    </w:p>
    <w:p w:rsidR="00E957BD" w:rsidRDefault="00E957BD" w:rsidP="008731BA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ג. איך נודע לעדים שהוא בן גרושה ובן חלוצה? (רש"י והמאירי)</w:t>
      </w:r>
    </w:p>
    <w:p w:rsidR="00E957BD" w:rsidRDefault="00E957BD" w:rsidP="008731BA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DF4B91" w:rsidRDefault="00E957BD" w:rsidP="00E957BD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ד. פרש את המושג "יכיר"</w:t>
      </w:r>
    </w:p>
    <w:p w:rsidR="00E957BD" w:rsidRDefault="00E957BD" w:rsidP="00E957BD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lastRenderedPageBreak/>
        <w:t xml:space="preserve">ה. מה פירוש המושג "עדות שאתה יכול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להזימה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>"?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ו. מה הדין בעדי נערה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המאורסה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>? האם נהרגים על עדותם ומדוע?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ז. באר את דברי הגמרא "כל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הזוממין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Pr="00E957BD">
        <w:rPr>
          <w:rFonts w:asciiTheme="majorBidi" w:hAnsiTheme="majorBidi" w:cstheme="majorBidi" w:hint="cs"/>
          <w:b/>
          <w:bCs/>
          <w:sz w:val="36"/>
          <w:szCs w:val="36"/>
          <w:rtl/>
        </w:rPr>
        <w:t>מקדימין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לאותה מיתה" (רש"י ותוס')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E957BD" w:rsidRDefault="00E957BD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ח. </w:t>
      </w:r>
      <w:r w:rsidR="00603A5C">
        <w:rPr>
          <w:rFonts w:asciiTheme="majorBidi" w:hAnsiTheme="majorBidi" w:cstheme="majorBidi" w:hint="cs"/>
          <w:sz w:val="36"/>
          <w:szCs w:val="36"/>
          <w:rtl/>
        </w:rPr>
        <w:t xml:space="preserve">היכן </w:t>
      </w:r>
      <w:proofErr w:type="spellStart"/>
      <w:r w:rsidR="00603A5C">
        <w:rPr>
          <w:rFonts w:asciiTheme="majorBidi" w:hAnsiTheme="majorBidi" w:cstheme="majorBidi" w:hint="cs"/>
          <w:sz w:val="36"/>
          <w:szCs w:val="36"/>
          <w:rtl/>
        </w:rPr>
        <w:t>בסוגיתנו</w:t>
      </w:r>
      <w:proofErr w:type="spellEnd"/>
      <w:r w:rsidR="00603A5C">
        <w:rPr>
          <w:rFonts w:asciiTheme="majorBidi" w:hAnsiTheme="majorBidi" w:cstheme="majorBidi" w:hint="cs"/>
          <w:sz w:val="36"/>
          <w:szCs w:val="36"/>
          <w:rtl/>
        </w:rPr>
        <w:t xml:space="preserve"> נזכר המונח "שתיקה כהודאה"?</w:t>
      </w:r>
    </w:p>
    <w:p w:rsidR="00603A5C" w:rsidRDefault="00603A5C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603A5C" w:rsidRDefault="00603A5C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ט. מדוע באמת לא עושים לעדי בן גרושה וחלוצה בדיוק מה שזממו לעשות לנידון?</w:t>
      </w:r>
    </w:p>
    <w:p w:rsidR="00603A5C" w:rsidRDefault="00603A5C" w:rsidP="00603A5C">
      <w:pPr>
        <w:pBdr>
          <w:bottom w:val="single" w:sz="12" w:space="0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</w:t>
      </w:r>
    </w:p>
    <w:p w:rsidR="00E957BD" w:rsidRDefault="00603A5C" w:rsidP="00E957BD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י. למה אין העדים משלמים את מתנות הכהונה שזממו להפסיד לכהן?</w:t>
      </w:r>
    </w:p>
    <w:p w:rsidR="00603A5C" w:rsidRDefault="00603A5C" w:rsidP="00603A5C">
      <w:pP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________________________________________________________________________________________________________________________________________________________________________________________________</w:t>
      </w:r>
    </w:p>
    <w:p w:rsidR="00603A5C" w:rsidRPr="00603A5C" w:rsidRDefault="00603A5C" w:rsidP="00603A5C">
      <w:pPr>
        <w:pBdr>
          <w:bottom w:val="single" w:sz="12" w:space="1" w:color="auto"/>
        </w:pBdr>
        <w:jc w:val="center"/>
        <w:rPr>
          <w:rFonts w:asciiTheme="majorBidi" w:hAnsiTheme="majorBidi" w:cstheme="majorBidi" w:hint="cs"/>
          <w:sz w:val="36"/>
          <w:szCs w:val="36"/>
          <w:u w:val="single"/>
          <w:rtl/>
        </w:rPr>
      </w:pPr>
      <w:r w:rsidRPr="00603A5C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lastRenderedPageBreak/>
        <w:t>רשות:</w:t>
      </w:r>
    </w:p>
    <w:p w:rsidR="00603A5C" w:rsidRDefault="00603A5C" w:rsidP="00603A5C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1. מה הקשה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המהרש"א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על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התוס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>' לגבי אמירת "מזיד הייתי"?</w:t>
      </w:r>
    </w:p>
    <w:p w:rsidR="00603A5C" w:rsidRDefault="00603A5C" w:rsidP="00603A5C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</w:t>
      </w:r>
      <w:bookmarkStart w:id="0" w:name="_GoBack"/>
      <w:bookmarkEnd w:id="0"/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</w:t>
      </w:r>
    </w:p>
    <w:p w:rsidR="00603A5C" w:rsidRDefault="00603A5C" w:rsidP="00603A5C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2. הקשה ה "תומים" כיצד ניתן לקיים בעדים דין הזמה והרי יש כלל "כאשר זמם </w:t>
      </w:r>
      <w:r>
        <w:rPr>
          <w:rFonts w:asciiTheme="majorBidi" w:hAnsiTheme="majorBidi" w:cstheme="majorBidi"/>
          <w:sz w:val="36"/>
          <w:szCs w:val="36"/>
          <w:rtl/>
        </w:rPr>
        <w:t>–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ולא כאשר עשה" ובמקרה שלנו ברגע שבית הדין קיבל את עדותם הופך הנידון להיות חלל ואם כן כבר נעשה המעשה ואי אפשר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להזימם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. כתוב את תירוצם של האחרונים שאליו כיוון חברנו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הבה"ח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חיים מנחם נ"י.</w:t>
      </w:r>
    </w:p>
    <w:p w:rsidR="00603A5C" w:rsidRDefault="00603A5C" w:rsidP="00603A5C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>________________________________________________________________________________________________________________________________________________</w:t>
      </w:r>
    </w:p>
    <w:p w:rsidR="00603A5C" w:rsidRPr="00603A5C" w:rsidRDefault="00603A5C" w:rsidP="00603A5C">
      <w:pPr>
        <w:pBdr>
          <w:bottom w:val="single" w:sz="12" w:space="1" w:color="auto"/>
        </w:pBdr>
        <w:jc w:val="center"/>
        <w:rPr>
          <w:rFonts w:asciiTheme="majorBidi" w:hAnsiTheme="majorBidi" w:cstheme="majorBidi" w:hint="cs"/>
          <w:b/>
          <w:bCs/>
          <w:sz w:val="36"/>
          <w:szCs w:val="36"/>
          <w:rtl/>
        </w:rPr>
      </w:pPr>
      <w:r w:rsidRPr="00603A5C">
        <w:rPr>
          <w:rFonts w:asciiTheme="majorBidi" w:hAnsiTheme="majorBidi" w:cstheme="majorBidi" w:hint="cs"/>
          <w:b/>
          <w:bCs/>
          <w:sz w:val="36"/>
          <w:szCs w:val="36"/>
          <w:rtl/>
        </w:rPr>
        <w:t>בהצלחה רבה!</w:t>
      </w:r>
    </w:p>
    <w:p w:rsidR="00603A5C" w:rsidRPr="00E957BD" w:rsidRDefault="00603A5C" w:rsidP="00603A5C">
      <w:pPr>
        <w:pBdr>
          <w:bottom w:val="single" w:sz="12" w:space="1" w:color="auto"/>
        </w:pBdr>
        <w:jc w:val="right"/>
        <w:rPr>
          <w:rFonts w:asciiTheme="majorBidi" w:hAnsiTheme="majorBidi" w:cstheme="majorBidi" w:hint="cs"/>
          <w:sz w:val="36"/>
          <w:szCs w:val="36"/>
          <w:rtl/>
        </w:rPr>
      </w:pPr>
    </w:p>
    <w:sectPr w:rsidR="00603A5C" w:rsidRPr="00E95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B91"/>
    <w:rsid w:val="00133747"/>
    <w:rsid w:val="00603A5C"/>
    <w:rsid w:val="006429B5"/>
    <w:rsid w:val="006B055B"/>
    <w:rsid w:val="007070E5"/>
    <w:rsid w:val="008731BA"/>
    <w:rsid w:val="00B96DBA"/>
    <w:rsid w:val="00DF4B91"/>
    <w:rsid w:val="00E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מדרשה החסידית</dc:creator>
  <cp:lastModifiedBy>מדרשה החסידית</cp:lastModifiedBy>
  <cp:revision>2</cp:revision>
  <cp:lastPrinted>2015-04-24T07:35:00Z</cp:lastPrinted>
  <dcterms:created xsi:type="dcterms:W3CDTF">2015-04-24T07:43:00Z</dcterms:created>
  <dcterms:modified xsi:type="dcterms:W3CDTF">2015-04-24T07:43:00Z</dcterms:modified>
</cp:coreProperties>
</file>